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62" w:rsidRPr="00ED1458" w:rsidRDefault="008E0862" w:rsidP="00ED1458">
      <w:pPr>
        <w:ind w:left="426" w:right="773" w:firstLine="425"/>
        <w:jc w:val="center"/>
        <w:rPr>
          <w:rFonts w:ascii="Times New Roman" w:hAnsi="Times New Roman" w:cs="Times New Roman"/>
          <w:b/>
          <w:sz w:val="28"/>
          <w:szCs w:val="28"/>
        </w:rPr>
      </w:pPr>
      <w:r w:rsidRPr="00ED1458">
        <w:rPr>
          <w:rFonts w:ascii="Times New Roman" w:hAnsi="Times New Roman" w:cs="Times New Roman"/>
          <w:b/>
          <w:sz w:val="28"/>
          <w:szCs w:val="28"/>
        </w:rPr>
        <w:t>ВЫПИСКА ИЗ АНАЛИТИЧЕСКОГО ОТЧЕТА ПО СБОРУ И ОБОБЩЕНИЮ ИНФОРМАЦИИ</w:t>
      </w:r>
      <w:r w:rsidR="001F667C">
        <w:rPr>
          <w:rFonts w:ascii="Times New Roman" w:hAnsi="Times New Roman" w:cs="Times New Roman"/>
          <w:b/>
          <w:sz w:val="28"/>
          <w:szCs w:val="28"/>
        </w:rPr>
        <w:t xml:space="preserve"> </w:t>
      </w:r>
      <w:r w:rsidRPr="00ED1458">
        <w:rPr>
          <w:rFonts w:ascii="Times New Roman" w:hAnsi="Times New Roman" w:cs="Times New Roman"/>
          <w:b/>
          <w:sz w:val="28"/>
          <w:szCs w:val="28"/>
        </w:rPr>
        <w:t xml:space="preserve">О КАЧЕСТВЕ УСЛОВИЙ ОСУЩЕСТВЛЕНИЯ ОБРАЗОВАТЕЛЬНОЙ ДЕЯТЕЛЬНОСТИ ОРАНИЗАЦИЯМИ, </w:t>
      </w:r>
      <w:proofErr w:type="gramStart"/>
      <w:r w:rsidRPr="00ED1458">
        <w:rPr>
          <w:rFonts w:ascii="Times New Roman" w:hAnsi="Times New Roman" w:cs="Times New Roman"/>
          <w:b/>
          <w:sz w:val="28"/>
          <w:szCs w:val="28"/>
        </w:rPr>
        <w:t>ОСУЩЕСТВЛЯЮЩИМИ</w:t>
      </w:r>
      <w:proofErr w:type="gramEnd"/>
      <w:r w:rsidRPr="00ED1458">
        <w:rPr>
          <w:rFonts w:ascii="Times New Roman" w:hAnsi="Times New Roman" w:cs="Times New Roman"/>
          <w:b/>
          <w:sz w:val="28"/>
          <w:szCs w:val="28"/>
        </w:rPr>
        <w:t xml:space="preserve"> ОБРАЗОВАТЕЛЬНУЮ ДЕЯТЕЛЬНОСТЬ В ГОРОДЕ СЕВЕРОДВИНСКЕ</w:t>
      </w:r>
      <w:bookmarkStart w:id="0" w:name="_GoBack"/>
      <w:bookmarkEnd w:id="0"/>
      <w:r w:rsidRPr="00ED1458">
        <w:rPr>
          <w:rFonts w:ascii="Times New Roman" w:hAnsi="Times New Roman" w:cs="Times New Roman"/>
          <w:b/>
          <w:sz w:val="28"/>
          <w:szCs w:val="28"/>
        </w:rPr>
        <w:t xml:space="preserve"> АРХАНГЕЛЬСКОЙ ОБЛАСТИ</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Независимая оценка КУООД производилась в отношении 70 организаций ГОРОДА СЕВЕРОДВИНСКА АРХАНГЕЛЬСКОЙ ОБЛАСТИ, осуществляющих образовательную деятельность по общеобразовательным программам, образовательным программам начального образования, образовательным программам дополнительного образования. Перечень оцениваемых организаций представлен в Приложении 1. В общей сложности было опрошено 23498 респондентов, заполнено 70 бланков исследования.</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2019 году, осуществлялся через следующие источники информации </w:t>
      </w:r>
    </w:p>
    <w:p w:rsidR="008E0862" w:rsidRPr="00ED1458" w:rsidRDefault="008E0862" w:rsidP="00ED1458">
      <w:pPr>
        <w:pStyle w:val="ConsPlusNormal"/>
        <w:spacing w:after="120"/>
        <w:ind w:firstLine="709"/>
        <w:jc w:val="both"/>
        <w:rPr>
          <w:rFonts w:ascii="Times New Roman" w:hAnsi="Times New Roman" w:cs="Times New Roman"/>
          <w:sz w:val="28"/>
          <w:szCs w:val="28"/>
        </w:rPr>
      </w:pPr>
      <w:r w:rsidRPr="00ED1458">
        <w:rPr>
          <w:rFonts w:ascii="Times New Roman" w:hAnsi="Times New Roman" w:cs="Times New Roman"/>
          <w:sz w:val="28"/>
          <w:szCs w:val="28"/>
        </w:rPr>
        <w:t>а) официальные сайты организаций в информационно-телекоммуникационной сети «Интернет», информационные стенды в помещениях организаций;</w:t>
      </w:r>
    </w:p>
    <w:p w:rsidR="008E0862" w:rsidRPr="00ED1458" w:rsidRDefault="008E0862" w:rsidP="00ED1458">
      <w:pPr>
        <w:pStyle w:val="ConsPlusNormal"/>
        <w:spacing w:after="120"/>
        <w:ind w:firstLine="709"/>
        <w:jc w:val="both"/>
        <w:rPr>
          <w:rFonts w:ascii="Times New Roman" w:hAnsi="Times New Roman" w:cs="Times New Roman"/>
          <w:sz w:val="28"/>
          <w:szCs w:val="28"/>
        </w:rPr>
      </w:pPr>
      <w:r w:rsidRPr="00ED1458">
        <w:rPr>
          <w:rFonts w:ascii="Times New Roman" w:hAnsi="Times New Roman" w:cs="Times New Roman"/>
          <w:sz w:val="28"/>
          <w:szCs w:val="28"/>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5" w:history="1">
        <w:r w:rsidRPr="00ED1458">
          <w:rPr>
            <w:rStyle w:val="a8"/>
            <w:rFonts w:ascii="Times New Roman" w:hAnsi="Times New Roman" w:cs="Times New Roman"/>
            <w:sz w:val="28"/>
            <w:szCs w:val="28"/>
          </w:rPr>
          <w:t>www.bus.gov.ru</w:t>
        </w:r>
      </w:hyperlink>
      <w:r w:rsidRPr="00ED1458">
        <w:rPr>
          <w:rFonts w:ascii="Times New Roman" w:hAnsi="Times New Roman" w:cs="Times New Roman"/>
          <w:sz w:val="28"/>
          <w:szCs w:val="28"/>
        </w:rPr>
        <w:t>;</w:t>
      </w:r>
    </w:p>
    <w:p w:rsidR="008E0862" w:rsidRPr="00ED1458" w:rsidRDefault="008E0862" w:rsidP="00ED1458">
      <w:pPr>
        <w:pStyle w:val="ConsPlusNormal"/>
        <w:spacing w:after="120"/>
        <w:ind w:firstLine="709"/>
        <w:jc w:val="both"/>
        <w:rPr>
          <w:rFonts w:ascii="Times New Roman" w:hAnsi="Times New Roman" w:cs="Times New Roman"/>
          <w:sz w:val="28"/>
          <w:szCs w:val="28"/>
        </w:rPr>
      </w:pPr>
      <w:r w:rsidRPr="00ED1458">
        <w:rPr>
          <w:rFonts w:ascii="Times New Roman" w:hAnsi="Times New Roman" w:cs="Times New Roman"/>
          <w:sz w:val="28"/>
          <w:szCs w:val="28"/>
        </w:rPr>
        <w:t>в) результаты изучения условий оказания услуг организациями, включающие:</w:t>
      </w:r>
    </w:p>
    <w:p w:rsidR="008E0862" w:rsidRPr="00ED1458" w:rsidRDefault="008E0862" w:rsidP="00ED1458">
      <w:pPr>
        <w:pStyle w:val="ConsPlusNormal"/>
        <w:numPr>
          <w:ilvl w:val="0"/>
          <w:numId w:val="2"/>
        </w:numPr>
        <w:jc w:val="both"/>
        <w:rPr>
          <w:rFonts w:ascii="Times New Roman" w:hAnsi="Times New Roman" w:cs="Times New Roman"/>
          <w:sz w:val="28"/>
          <w:szCs w:val="28"/>
        </w:rPr>
      </w:pPr>
      <w:r w:rsidRPr="00ED1458">
        <w:rPr>
          <w:rFonts w:ascii="Times New Roman" w:hAnsi="Times New Roman" w:cs="Times New Roman"/>
          <w:sz w:val="28"/>
          <w:szCs w:val="28"/>
        </w:rPr>
        <w:t>наличие и функционирование дистанционных способов обратной связи и взаимодействия с получателями услуг;</w:t>
      </w:r>
    </w:p>
    <w:p w:rsidR="008E0862" w:rsidRPr="00ED1458" w:rsidRDefault="008E0862" w:rsidP="00ED1458">
      <w:pPr>
        <w:pStyle w:val="ConsPlusNormal"/>
        <w:numPr>
          <w:ilvl w:val="0"/>
          <w:numId w:val="2"/>
        </w:numPr>
        <w:jc w:val="both"/>
        <w:rPr>
          <w:rFonts w:ascii="Times New Roman" w:hAnsi="Times New Roman" w:cs="Times New Roman"/>
          <w:sz w:val="28"/>
          <w:szCs w:val="28"/>
        </w:rPr>
      </w:pPr>
      <w:r w:rsidRPr="00ED1458">
        <w:rPr>
          <w:rFonts w:ascii="Times New Roman" w:hAnsi="Times New Roman" w:cs="Times New Roman"/>
          <w:sz w:val="28"/>
          <w:szCs w:val="28"/>
        </w:rPr>
        <w:t>обеспечение комфортных условий предоставления услуг;</w:t>
      </w:r>
    </w:p>
    <w:p w:rsidR="008E0862" w:rsidRPr="00ED1458" w:rsidRDefault="008E0862" w:rsidP="00ED1458">
      <w:pPr>
        <w:pStyle w:val="ConsPlusNormal"/>
        <w:numPr>
          <w:ilvl w:val="0"/>
          <w:numId w:val="2"/>
        </w:numPr>
        <w:jc w:val="both"/>
        <w:rPr>
          <w:rFonts w:ascii="Times New Roman" w:hAnsi="Times New Roman" w:cs="Times New Roman"/>
          <w:sz w:val="28"/>
          <w:szCs w:val="28"/>
        </w:rPr>
      </w:pPr>
      <w:r w:rsidRPr="00ED1458">
        <w:rPr>
          <w:rFonts w:ascii="Times New Roman" w:hAnsi="Times New Roman" w:cs="Times New Roman"/>
          <w:sz w:val="28"/>
          <w:szCs w:val="28"/>
        </w:rPr>
        <w:t>обеспечение доступности для инвалидов помещений указанных организаций, прилегающих территорий и предоставляемых услуг;</w:t>
      </w:r>
    </w:p>
    <w:p w:rsidR="008E0862" w:rsidRPr="00ED1458" w:rsidRDefault="008E0862" w:rsidP="00ED1458">
      <w:pPr>
        <w:pStyle w:val="ConsPlusNormal"/>
        <w:spacing w:before="120"/>
        <w:ind w:firstLine="709"/>
        <w:jc w:val="both"/>
        <w:rPr>
          <w:rFonts w:ascii="Times New Roman" w:hAnsi="Times New Roman" w:cs="Times New Roman"/>
          <w:sz w:val="28"/>
          <w:szCs w:val="28"/>
        </w:rPr>
      </w:pPr>
      <w:r w:rsidRPr="00ED1458">
        <w:rPr>
          <w:rFonts w:ascii="Times New Roman" w:hAnsi="Times New Roman" w:cs="Times New Roman"/>
          <w:sz w:val="28"/>
          <w:szCs w:val="28"/>
        </w:rPr>
        <w:t>г) мнение получателей услуг о качестве условий осуществления образовательной деятельности оцениваемыми организациями в целях установления удовлетворенности граждан условиями оказания услуг (интернет-опрос, в том числе на официальном сайте организации).</w:t>
      </w:r>
    </w:p>
    <w:p w:rsidR="008E0862" w:rsidRPr="00ED1458" w:rsidRDefault="008E0862" w:rsidP="00ED1458">
      <w:pPr>
        <w:jc w:val="both"/>
        <w:rPr>
          <w:rFonts w:ascii="Times New Roman" w:hAnsi="Times New Roman" w:cs="Times New Roman"/>
          <w:sz w:val="28"/>
          <w:szCs w:val="28"/>
        </w:rPr>
      </w:pPr>
    </w:p>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lastRenderedPageBreak/>
        <w:t>Методы исследования соответствуют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Министерством образования и науки РФ 15 сентября 2016 года № АП-87/02вн.</w:t>
      </w:r>
    </w:p>
    <w:p w:rsidR="008E0862" w:rsidRPr="00ED1458" w:rsidRDefault="008E0862" w:rsidP="00ED1458">
      <w:pPr>
        <w:jc w:val="both"/>
        <w:rPr>
          <w:rFonts w:ascii="Times New Roman" w:hAnsi="Times New Roman" w:cs="Times New Roman"/>
          <w:sz w:val="28"/>
          <w:szCs w:val="28"/>
        </w:rPr>
      </w:pP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 xml:space="preserve">Сбор данных по показателям </w:t>
      </w:r>
      <w:r w:rsidRPr="00ED1458">
        <w:rPr>
          <w:rFonts w:ascii="Times New Roman" w:eastAsia="Calibri" w:hAnsi="Times New Roman" w:cs="Times New Roman"/>
          <w:color w:val="262626"/>
          <w:sz w:val="28"/>
          <w:szCs w:val="28"/>
        </w:rPr>
        <w:t>КУООД</w:t>
      </w:r>
      <w:r w:rsidRPr="00ED1458">
        <w:rPr>
          <w:rFonts w:ascii="Times New Roman" w:hAnsi="Times New Roman" w:cs="Times New Roman"/>
          <w:sz w:val="28"/>
          <w:szCs w:val="28"/>
        </w:rPr>
        <w:t xml:space="preserve"> осуществлялся следующими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833"/>
        <w:gridCol w:w="2716"/>
      </w:tblGrid>
      <w:tr w:rsidR="008E0862" w:rsidRPr="00ED1458" w:rsidTr="00C220B9">
        <w:trPr>
          <w:trHeight w:val="252"/>
        </w:trPr>
        <w:tc>
          <w:tcPr>
            <w:tcW w:w="688" w:type="dxa"/>
            <w:shd w:val="clear" w:color="auto" w:fill="C2D69B" w:themeFill="accent3" w:themeFillTint="99"/>
          </w:tcPr>
          <w:p w:rsidR="008E0862" w:rsidRPr="00ED1458" w:rsidRDefault="008E0862" w:rsidP="00ED1458">
            <w:pPr>
              <w:jc w:val="both"/>
              <w:rPr>
                <w:rFonts w:ascii="Times New Roman" w:hAnsi="Times New Roman" w:cs="Times New Roman"/>
                <w:b/>
                <w:sz w:val="28"/>
                <w:szCs w:val="28"/>
              </w:rPr>
            </w:pPr>
            <w:r w:rsidRPr="00ED1458">
              <w:rPr>
                <w:rFonts w:ascii="Times New Roman" w:hAnsi="Times New Roman" w:cs="Times New Roman"/>
                <w:b/>
                <w:sz w:val="28"/>
                <w:szCs w:val="28"/>
              </w:rPr>
              <w:t>№</w:t>
            </w:r>
          </w:p>
        </w:tc>
        <w:tc>
          <w:tcPr>
            <w:tcW w:w="5833" w:type="dxa"/>
            <w:shd w:val="clear" w:color="auto" w:fill="C2D69B" w:themeFill="accent3" w:themeFillTint="99"/>
          </w:tcPr>
          <w:p w:rsidR="008E0862" w:rsidRPr="00ED1458" w:rsidRDefault="008E0862" w:rsidP="00ED1458">
            <w:pPr>
              <w:jc w:val="both"/>
              <w:rPr>
                <w:rFonts w:ascii="Times New Roman" w:hAnsi="Times New Roman" w:cs="Times New Roman"/>
                <w:b/>
                <w:sz w:val="28"/>
                <w:szCs w:val="28"/>
              </w:rPr>
            </w:pPr>
            <w:r w:rsidRPr="00ED1458">
              <w:rPr>
                <w:rFonts w:ascii="Times New Roman" w:hAnsi="Times New Roman" w:cs="Times New Roman"/>
                <w:b/>
                <w:sz w:val="28"/>
                <w:szCs w:val="28"/>
              </w:rPr>
              <w:t>Методы сбора социологической информации</w:t>
            </w:r>
          </w:p>
        </w:tc>
        <w:tc>
          <w:tcPr>
            <w:tcW w:w="2716" w:type="dxa"/>
            <w:shd w:val="clear" w:color="auto" w:fill="C2D69B" w:themeFill="accent3" w:themeFillTint="99"/>
          </w:tcPr>
          <w:p w:rsidR="008E0862" w:rsidRPr="00ED1458" w:rsidRDefault="008E0862" w:rsidP="00ED1458">
            <w:pPr>
              <w:jc w:val="both"/>
              <w:rPr>
                <w:rFonts w:ascii="Times New Roman" w:hAnsi="Times New Roman" w:cs="Times New Roman"/>
                <w:b/>
                <w:sz w:val="28"/>
                <w:szCs w:val="28"/>
              </w:rPr>
            </w:pPr>
            <w:r w:rsidRPr="00ED1458">
              <w:rPr>
                <w:rFonts w:ascii="Times New Roman" w:hAnsi="Times New Roman" w:cs="Times New Roman"/>
                <w:b/>
                <w:sz w:val="28"/>
                <w:szCs w:val="28"/>
              </w:rPr>
              <w:t>Инструментарий</w:t>
            </w:r>
          </w:p>
        </w:tc>
      </w:tr>
      <w:tr w:rsidR="008E0862" w:rsidRPr="00ED1458" w:rsidTr="00C220B9">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t>Бланк исследования организации - оператора</w:t>
            </w:r>
          </w:p>
        </w:tc>
      </w:tr>
      <w:tr w:rsidR="008E0862" w:rsidRPr="00ED1458" w:rsidTr="00C220B9">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8E0862" w:rsidRPr="00ED1458" w:rsidRDefault="008E0862" w:rsidP="00ED1458">
            <w:pPr>
              <w:jc w:val="both"/>
              <w:rPr>
                <w:rFonts w:ascii="Times New Roman" w:hAnsi="Times New Roman" w:cs="Times New Roman"/>
                <w:sz w:val="28"/>
                <w:szCs w:val="28"/>
              </w:rPr>
            </w:pPr>
            <w:r w:rsidRPr="00ED1458">
              <w:rPr>
                <w:rFonts w:ascii="Times New Roman" w:hAnsi="Times New Roman" w:cs="Times New Roman"/>
                <w:sz w:val="28"/>
                <w:szCs w:val="28"/>
              </w:rPr>
              <w:t>Анкета получателя услуг</w:t>
            </w:r>
          </w:p>
        </w:tc>
      </w:tr>
    </w:tbl>
    <w:p w:rsidR="008E0862" w:rsidRPr="00ED1458" w:rsidRDefault="008E0862" w:rsidP="00ED1458">
      <w:pPr>
        <w:jc w:val="both"/>
        <w:rPr>
          <w:rFonts w:ascii="Times New Roman" w:hAnsi="Times New Roman" w:cs="Times New Roman"/>
          <w:sz w:val="28"/>
          <w:szCs w:val="28"/>
        </w:rPr>
      </w:pP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Сбор информации по показателям бланка исследования организации - оператора осуществлялся сотрудниками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Образец бланка исследования организации – оператора представлен в Приложении 2.</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 xml:space="preserve">Анкетирование получателей образовательных услуг/ их законных представителей проводилось в форме </w:t>
      </w:r>
      <w:proofErr w:type="spellStart"/>
      <w:r w:rsidRPr="00ED1458">
        <w:rPr>
          <w:rFonts w:ascii="Times New Roman" w:hAnsi="Times New Roman" w:cs="Times New Roman"/>
          <w:sz w:val="28"/>
          <w:szCs w:val="28"/>
        </w:rPr>
        <w:t>онлайн-опроса</w:t>
      </w:r>
      <w:proofErr w:type="spellEnd"/>
      <w:r w:rsidRPr="00ED1458">
        <w:rPr>
          <w:rFonts w:ascii="Times New Roman" w:hAnsi="Times New Roman" w:cs="Times New Roman"/>
          <w:sz w:val="28"/>
          <w:szCs w:val="28"/>
        </w:rPr>
        <w:t xml:space="preserve">, в том числе на официальном сайте организации. </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 xml:space="preserve">Образец анкеты для оценки качества условий осуществления образовательной деятельности представлен в Приложении 3. </w:t>
      </w:r>
    </w:p>
    <w:p w:rsidR="008E0862" w:rsidRPr="00ED1458" w:rsidRDefault="008E0862" w:rsidP="00ED1458">
      <w:pPr>
        <w:spacing w:after="120"/>
        <w:jc w:val="both"/>
        <w:rPr>
          <w:rFonts w:ascii="Times New Roman" w:hAnsi="Times New Roman" w:cs="Times New Roman"/>
          <w:iCs/>
          <w:sz w:val="28"/>
          <w:szCs w:val="28"/>
        </w:rPr>
      </w:pPr>
      <w:r w:rsidRPr="00ED1458">
        <w:rPr>
          <w:rFonts w:ascii="Times New Roman" w:hAnsi="Times New Roman" w:cs="Times New Roman"/>
          <w:sz w:val="28"/>
          <w:szCs w:val="28"/>
        </w:rPr>
        <w:t xml:space="preserve">Для анкетирования получателей услуг использовано программное обеспечение </w:t>
      </w:r>
      <w:proofErr w:type="spellStart"/>
      <w:r w:rsidRPr="00ED1458">
        <w:rPr>
          <w:rFonts w:ascii="Times New Roman" w:hAnsi="Times New Roman" w:cs="Times New Roman"/>
          <w:sz w:val="28"/>
          <w:szCs w:val="28"/>
        </w:rPr>
        <w:t>SimpleForms</w:t>
      </w:r>
      <w:proofErr w:type="spellEnd"/>
      <w:r w:rsidRPr="00ED1458">
        <w:rPr>
          <w:rFonts w:ascii="Times New Roman" w:hAnsi="Times New Roman" w:cs="Times New Roman"/>
          <w:sz w:val="28"/>
          <w:szCs w:val="28"/>
        </w:rPr>
        <w:t xml:space="preserve"> – специализированная </w:t>
      </w:r>
      <w:r w:rsidRPr="00ED1458">
        <w:rPr>
          <w:rFonts w:ascii="Times New Roman" w:hAnsi="Times New Roman" w:cs="Times New Roman"/>
          <w:iCs/>
          <w:sz w:val="28"/>
          <w:szCs w:val="28"/>
        </w:rPr>
        <w:t xml:space="preserve">платформа для проведения </w:t>
      </w:r>
      <w:proofErr w:type="spellStart"/>
      <w:r w:rsidRPr="00ED1458">
        <w:rPr>
          <w:rFonts w:ascii="Times New Roman" w:hAnsi="Times New Roman" w:cs="Times New Roman"/>
          <w:iCs/>
          <w:sz w:val="28"/>
          <w:szCs w:val="28"/>
        </w:rPr>
        <w:t>онлайн-опросов</w:t>
      </w:r>
      <w:proofErr w:type="spellEnd"/>
      <w:r w:rsidRPr="00ED1458">
        <w:rPr>
          <w:rFonts w:ascii="Times New Roman" w:hAnsi="Times New Roman" w:cs="Times New Roman"/>
          <w:iCs/>
          <w:sz w:val="28"/>
          <w:szCs w:val="28"/>
        </w:rPr>
        <w:t xml:space="preserve">/ анкетирования респондентов на мобильных устройствах (планшетах, смартфонах на базе </w:t>
      </w:r>
      <w:r w:rsidRPr="00ED1458">
        <w:rPr>
          <w:rFonts w:ascii="Times New Roman" w:hAnsi="Times New Roman" w:cs="Times New Roman"/>
          <w:iCs/>
          <w:sz w:val="28"/>
          <w:szCs w:val="28"/>
          <w:lang w:val="en-US"/>
        </w:rPr>
        <w:t>Android</w:t>
      </w:r>
      <w:r w:rsidRPr="00ED1458">
        <w:rPr>
          <w:rFonts w:ascii="Times New Roman" w:hAnsi="Times New Roman" w:cs="Times New Roman"/>
          <w:iCs/>
          <w:sz w:val="28"/>
          <w:szCs w:val="28"/>
        </w:rPr>
        <w:t xml:space="preserve">). </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lastRenderedPageBreak/>
        <w:t xml:space="preserve">Каждая оцениваемая организация получила ссылку, по которой получатели услуг могли заполнить анкету. Также ссылки на анкету были размещены на сайтах образовательных организаций. </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 xml:space="preserve">В целях обеспечения качества проведения </w:t>
      </w:r>
      <w:proofErr w:type="spellStart"/>
      <w:r w:rsidRPr="00ED1458">
        <w:rPr>
          <w:rFonts w:ascii="Times New Roman" w:hAnsi="Times New Roman" w:cs="Times New Roman"/>
          <w:sz w:val="28"/>
          <w:szCs w:val="28"/>
        </w:rPr>
        <w:t>онлайн-опроса</w:t>
      </w:r>
      <w:proofErr w:type="spellEnd"/>
      <w:r w:rsidRPr="00ED1458">
        <w:rPr>
          <w:rFonts w:ascii="Times New Roman" w:hAnsi="Times New Roman" w:cs="Times New Roman"/>
          <w:sz w:val="28"/>
          <w:szCs w:val="28"/>
        </w:rPr>
        <w:t xml:space="preserve"> и исключения возможности подтасовки результатов были использованы следующие процедуры защиты и контроля:</w:t>
      </w:r>
    </w:p>
    <w:p w:rsidR="008E0862" w:rsidRPr="00ED1458" w:rsidRDefault="008E0862" w:rsidP="00ED1458">
      <w:pPr>
        <w:pStyle w:val="a"/>
        <w:numPr>
          <w:ilvl w:val="0"/>
          <w:numId w:val="4"/>
        </w:numPr>
        <w:spacing w:after="120"/>
      </w:pPr>
      <w:r w:rsidRPr="00ED1458">
        <w:t>защита от роботизированного ввода ответов (использование CAPTCHA, контроль IP-адреса)</w:t>
      </w:r>
    </w:p>
    <w:p w:rsidR="008E0862" w:rsidRPr="00ED1458" w:rsidRDefault="008E0862" w:rsidP="00ED1458">
      <w:pPr>
        <w:pStyle w:val="a"/>
        <w:numPr>
          <w:ilvl w:val="0"/>
          <w:numId w:val="4"/>
        </w:numPr>
        <w:spacing w:after="120"/>
      </w:pPr>
      <w:r w:rsidRPr="00ED1458">
        <w:t>контроль времени заполнения анкеты (удаление «слишком быстрых анкет»)</w:t>
      </w:r>
    </w:p>
    <w:p w:rsidR="008E0862" w:rsidRPr="00ED1458" w:rsidRDefault="008E0862" w:rsidP="00ED1458">
      <w:pPr>
        <w:spacing w:after="120"/>
        <w:jc w:val="both"/>
        <w:rPr>
          <w:rFonts w:ascii="Times New Roman" w:hAnsi="Times New Roman" w:cs="Times New Roman"/>
          <w:sz w:val="28"/>
          <w:szCs w:val="28"/>
        </w:rPr>
      </w:pPr>
      <w:r w:rsidRPr="00ED1458">
        <w:rPr>
          <w:rFonts w:ascii="Times New Roman" w:hAnsi="Times New Roman" w:cs="Times New Roman"/>
          <w:sz w:val="28"/>
          <w:szCs w:val="28"/>
        </w:rPr>
        <w:t>Анкеты заполнялись получателями образовательных услуг, желающими выразить свое мнение о качестве осуществления образовательной деятельности организации. Респондентами выступали:</w:t>
      </w:r>
    </w:p>
    <w:p w:rsidR="008E0862" w:rsidRPr="00ED1458" w:rsidRDefault="008E0862" w:rsidP="00ED1458">
      <w:pPr>
        <w:numPr>
          <w:ilvl w:val="0"/>
          <w:numId w:val="3"/>
        </w:numPr>
        <w:autoSpaceDE w:val="0"/>
        <w:autoSpaceDN w:val="0"/>
        <w:adjustRightInd w:val="0"/>
        <w:spacing w:after="120" w:line="240" w:lineRule="auto"/>
        <w:jc w:val="both"/>
        <w:rPr>
          <w:rFonts w:ascii="Times New Roman" w:hAnsi="Times New Roman" w:cs="Times New Roman"/>
          <w:sz w:val="28"/>
          <w:szCs w:val="28"/>
        </w:rPr>
      </w:pPr>
      <w:r w:rsidRPr="00ED1458">
        <w:rPr>
          <w:rFonts w:ascii="Times New Roman" w:hAnsi="Times New Roman" w:cs="Times New Roman"/>
          <w:sz w:val="28"/>
          <w:szCs w:val="28"/>
        </w:rPr>
        <w:t>обучающиеся/ воспитанники образовательных учреждений, достигшие 14-летнего возраста</w:t>
      </w:r>
    </w:p>
    <w:p w:rsidR="008E0862" w:rsidRPr="00ED1458" w:rsidRDefault="008E0862" w:rsidP="00ED1458">
      <w:pPr>
        <w:numPr>
          <w:ilvl w:val="0"/>
          <w:numId w:val="3"/>
        </w:numPr>
        <w:autoSpaceDE w:val="0"/>
        <w:autoSpaceDN w:val="0"/>
        <w:adjustRightInd w:val="0"/>
        <w:spacing w:after="120" w:line="240" w:lineRule="auto"/>
        <w:jc w:val="both"/>
        <w:rPr>
          <w:rFonts w:ascii="Times New Roman" w:hAnsi="Times New Roman" w:cs="Times New Roman"/>
          <w:sz w:val="28"/>
          <w:szCs w:val="28"/>
        </w:rPr>
      </w:pPr>
      <w:r w:rsidRPr="00ED1458">
        <w:rPr>
          <w:rFonts w:ascii="Times New Roman" w:hAnsi="Times New Roman" w:cs="Times New Roman"/>
          <w:sz w:val="28"/>
          <w:szCs w:val="28"/>
        </w:rPr>
        <w:t>родители (законные представители) обучающихся в образовательных организациях, подлежащих КУООД, независимо от возраста обучающихся</w:t>
      </w:r>
    </w:p>
    <w:p w:rsidR="008E0862" w:rsidRPr="00ED1458" w:rsidRDefault="008E0862" w:rsidP="00ED1458">
      <w:pPr>
        <w:jc w:val="both"/>
        <w:rPr>
          <w:rFonts w:ascii="Times New Roman" w:eastAsiaTheme="majorEastAsia" w:hAnsi="Times New Roman" w:cs="Times New Roman"/>
          <w:b/>
          <w:smallCaps/>
          <w:color w:val="4F6228" w:themeColor="accent3" w:themeShade="80"/>
          <w:sz w:val="28"/>
          <w:szCs w:val="28"/>
          <w:lang w:eastAsia="en-US"/>
        </w:rPr>
      </w:pPr>
    </w:p>
    <w:p w:rsidR="008E0862" w:rsidRPr="00ED1458" w:rsidRDefault="008E0862" w:rsidP="00ED1458">
      <w:pPr>
        <w:jc w:val="both"/>
        <w:rPr>
          <w:rFonts w:ascii="Times New Roman" w:hAnsi="Times New Roman" w:cs="Times New Roman"/>
          <w:sz w:val="28"/>
          <w:szCs w:val="28"/>
          <w:lang w:eastAsia="en-US"/>
        </w:rPr>
      </w:pPr>
      <w:r w:rsidRPr="00ED1458">
        <w:rPr>
          <w:rFonts w:ascii="Times New Roman" w:eastAsiaTheme="majorEastAsia" w:hAnsi="Times New Roman" w:cs="Times New Roman"/>
          <w:b/>
          <w:smallCaps/>
          <w:color w:val="4F6228" w:themeColor="accent3" w:themeShade="80"/>
          <w:sz w:val="28"/>
          <w:szCs w:val="28"/>
          <w:lang w:eastAsia="en-US"/>
        </w:rPr>
        <w:t>МБОУ "Лицей № 17" (Северодвинск)</w:t>
      </w:r>
    </w:p>
    <w:p w:rsidR="008E0862" w:rsidRPr="00ED1458" w:rsidRDefault="008E0862" w:rsidP="00ED1458">
      <w:pPr>
        <w:jc w:val="both"/>
        <w:rPr>
          <w:rFonts w:ascii="Times New Roman" w:hAnsi="Times New Roman" w:cs="Times New Roman"/>
          <w:sz w:val="28"/>
          <w:szCs w:val="28"/>
          <w:lang w:eastAsia="en-US"/>
        </w:rPr>
      </w:pPr>
      <w:r w:rsidRPr="00ED1458">
        <w:rPr>
          <w:rFonts w:ascii="Times New Roman" w:hAnsi="Times New Roman" w:cs="Times New Roman"/>
          <w:sz w:val="28"/>
          <w:szCs w:val="28"/>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97,6 баллов, по показателю комфортности условий предоставления услуг, 95 баллов, по показателю доступности образовательной организации для обучения инвалидов и лиц с ограниченными возможностями здоровья, 42,4 баллов, по показателю доброжелательности, вежливости, компетентности работников, показатель составил 94 баллов. По критериям удовлетворенности качеством образовательной организации, данная организация получила 94,7 баллов. Итоговый показатель по данной организации составил 84,7 баллов</w:t>
      </w:r>
    </w:p>
    <w:p w:rsidR="008E0862" w:rsidRPr="00ED1458" w:rsidRDefault="008E0862" w:rsidP="00ED1458">
      <w:pPr>
        <w:jc w:val="both"/>
        <w:rPr>
          <w:rFonts w:ascii="Times New Roman" w:hAnsi="Times New Roman" w:cs="Times New Roman"/>
          <w:sz w:val="28"/>
          <w:szCs w:val="28"/>
          <w:lang w:eastAsia="en-US"/>
        </w:rPr>
      </w:pPr>
    </w:p>
    <w:p w:rsidR="008E0862" w:rsidRPr="00ED1458" w:rsidRDefault="008E0862" w:rsidP="00ED1458">
      <w:pPr>
        <w:pStyle w:val="a4"/>
        <w:rPr>
          <w:rFonts w:ascii="Times New Roman" w:hAnsi="Times New Roman" w:cs="Times New Roman"/>
          <w:sz w:val="28"/>
          <w:szCs w:val="28"/>
          <w:lang w:eastAsia="en-US"/>
        </w:rPr>
      </w:pPr>
      <w:r w:rsidRPr="00ED1458">
        <w:rPr>
          <w:rFonts w:ascii="Times New Roman" w:hAnsi="Times New Roman" w:cs="Times New Roman"/>
          <w:sz w:val="28"/>
          <w:szCs w:val="28"/>
        </w:rPr>
        <w:lastRenderedPageBreak/>
        <w:t xml:space="preserve">Рисунок </w:t>
      </w:r>
      <w:r w:rsidR="007B048B" w:rsidRPr="00ED1458">
        <w:rPr>
          <w:rFonts w:ascii="Times New Roman" w:hAnsi="Times New Roman" w:cs="Times New Roman"/>
          <w:sz w:val="28"/>
          <w:szCs w:val="28"/>
        </w:rPr>
        <w:fldChar w:fldCharType="begin"/>
      </w:r>
      <w:r w:rsidRPr="00ED1458">
        <w:rPr>
          <w:rFonts w:ascii="Times New Roman" w:hAnsi="Times New Roman" w:cs="Times New Roman"/>
          <w:sz w:val="28"/>
          <w:szCs w:val="28"/>
        </w:rPr>
        <w:instrText xml:space="preserve"> SEQ Рисунок \* ARABIC </w:instrText>
      </w:r>
      <w:r w:rsidR="007B048B" w:rsidRPr="00ED1458">
        <w:rPr>
          <w:rFonts w:ascii="Times New Roman" w:hAnsi="Times New Roman" w:cs="Times New Roman"/>
          <w:sz w:val="28"/>
          <w:szCs w:val="28"/>
        </w:rPr>
        <w:fldChar w:fldCharType="separate"/>
      </w:r>
      <w:r w:rsidRPr="00ED1458">
        <w:rPr>
          <w:rFonts w:ascii="Times New Roman" w:hAnsi="Times New Roman" w:cs="Times New Roman"/>
          <w:noProof/>
          <w:sz w:val="28"/>
          <w:szCs w:val="28"/>
        </w:rPr>
        <w:t>40</w:t>
      </w:r>
      <w:r w:rsidR="007B048B" w:rsidRPr="00ED1458">
        <w:rPr>
          <w:rFonts w:ascii="Times New Roman" w:hAnsi="Times New Roman" w:cs="Times New Roman"/>
          <w:sz w:val="28"/>
          <w:szCs w:val="28"/>
        </w:rPr>
        <w:fldChar w:fldCharType="end"/>
      </w:r>
    </w:p>
    <w:p w:rsidR="008E0862" w:rsidRPr="00ED1458" w:rsidRDefault="008E0862" w:rsidP="00ED1458">
      <w:pPr>
        <w:jc w:val="both"/>
        <w:rPr>
          <w:rFonts w:ascii="Times New Roman" w:hAnsi="Times New Roman" w:cs="Times New Roman"/>
          <w:sz w:val="28"/>
          <w:szCs w:val="28"/>
          <w:lang w:eastAsia="en-US"/>
        </w:rPr>
      </w:pPr>
      <w:r w:rsidRPr="00ED1458">
        <w:rPr>
          <w:rFonts w:ascii="Times New Roman" w:hAnsi="Times New Roman" w:cs="Times New Roman"/>
          <w:noProof/>
          <w:sz w:val="28"/>
          <w:szCs w:val="28"/>
        </w:rPr>
        <w:drawing>
          <wp:inline distT="0" distB="0" distL="0" distR="0">
            <wp:extent cx="5935435" cy="2571750"/>
            <wp:effectExtent l="0" t="0" r="27305"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E0862" w:rsidRPr="00ED1458" w:rsidRDefault="008E0862" w:rsidP="00ED1458">
      <w:pPr>
        <w:jc w:val="both"/>
        <w:rPr>
          <w:rFonts w:ascii="Times New Roman" w:hAnsi="Times New Roman" w:cs="Times New Roman"/>
          <w:sz w:val="28"/>
          <w:szCs w:val="28"/>
          <w:lang w:eastAsia="en-US"/>
        </w:rPr>
      </w:pPr>
    </w:p>
    <w:p w:rsidR="008E0862" w:rsidRPr="00ED1458" w:rsidRDefault="008E0862" w:rsidP="00ED1458">
      <w:pPr>
        <w:jc w:val="both"/>
        <w:rPr>
          <w:rFonts w:ascii="Times New Roman" w:hAnsi="Times New Roman" w:cs="Times New Roman"/>
          <w:sz w:val="28"/>
          <w:szCs w:val="28"/>
          <w:lang w:eastAsia="en-US"/>
        </w:rPr>
      </w:pPr>
      <w:r w:rsidRPr="00ED1458">
        <w:rPr>
          <w:rFonts w:ascii="Times New Roman" w:hAnsi="Times New Roman" w:cs="Times New Roman"/>
          <w:sz w:val="28"/>
          <w:szCs w:val="28"/>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D1458">
        <w:rPr>
          <w:rFonts w:ascii="Times New Roman" w:hAnsi="Times New Roman" w:cs="Times New Roman"/>
          <w:sz w:val="28"/>
          <w:szCs w:val="28"/>
          <w:lang w:eastAsia="en-US"/>
        </w:rPr>
        <w:t>нуждающимся</w:t>
      </w:r>
      <w:proofErr w:type="gramEnd"/>
      <w:r w:rsidRPr="00ED1458">
        <w:rPr>
          <w:rFonts w:ascii="Times New Roman" w:hAnsi="Times New Roman" w:cs="Times New Roman"/>
          <w:sz w:val="28"/>
          <w:szCs w:val="28"/>
          <w:lang w:eastAsia="en-US"/>
        </w:rPr>
        <w:t xml:space="preserve">, услуг по </w:t>
      </w:r>
      <w:proofErr w:type="spellStart"/>
      <w:r w:rsidRPr="00ED1458">
        <w:rPr>
          <w:rFonts w:ascii="Times New Roman" w:hAnsi="Times New Roman" w:cs="Times New Roman"/>
          <w:sz w:val="28"/>
          <w:szCs w:val="28"/>
          <w:lang w:eastAsia="en-US"/>
        </w:rPr>
        <w:t>сурдопереводу</w:t>
      </w:r>
      <w:proofErr w:type="spellEnd"/>
      <w:r w:rsidRPr="00ED1458">
        <w:rPr>
          <w:rFonts w:ascii="Times New Roman" w:hAnsi="Times New Roman" w:cs="Times New Roman"/>
          <w:sz w:val="28"/>
          <w:szCs w:val="28"/>
          <w:lang w:eastAsia="en-US"/>
        </w:rPr>
        <w:t xml:space="preserve">. </w:t>
      </w:r>
      <w:proofErr w:type="gramStart"/>
      <w:r w:rsidRPr="00ED1458">
        <w:rPr>
          <w:rFonts w:ascii="Times New Roman" w:hAnsi="Times New Roman" w:cs="Times New Roman"/>
          <w:sz w:val="28"/>
          <w:szCs w:val="28"/>
          <w:lang w:eastAsia="en-US"/>
        </w:rPr>
        <w:t xml:space="preserve">Обеспечить альтернативную версию официального </w:t>
      </w:r>
      <w:proofErr w:type="spellStart"/>
      <w:r w:rsidRPr="00ED1458">
        <w:rPr>
          <w:rFonts w:ascii="Times New Roman" w:hAnsi="Times New Roman" w:cs="Times New Roman"/>
          <w:sz w:val="28"/>
          <w:szCs w:val="28"/>
          <w:lang w:eastAsia="en-US"/>
        </w:rPr>
        <w:t>интеренет-сайта</w:t>
      </w:r>
      <w:proofErr w:type="spellEnd"/>
      <w:r w:rsidRPr="00ED1458">
        <w:rPr>
          <w:rFonts w:ascii="Times New Roman" w:hAnsi="Times New Roman" w:cs="Times New Roman"/>
          <w:sz w:val="28"/>
          <w:szCs w:val="28"/>
          <w:lang w:eastAsia="en-US"/>
        </w:rPr>
        <w:t xml:space="preserve"> для граждан с ограничениями возможностей по слуху и зрению, если таковой функции еще нет.</w:t>
      </w:r>
      <w:proofErr w:type="gramEnd"/>
      <w:r w:rsidRPr="00ED1458">
        <w:rPr>
          <w:rFonts w:ascii="Times New Roman" w:hAnsi="Times New Roman" w:cs="Times New Roman"/>
          <w:sz w:val="28"/>
          <w:szCs w:val="28"/>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D1458">
        <w:rPr>
          <w:rFonts w:ascii="Times New Roman" w:hAnsi="Times New Roman" w:cs="Times New Roman"/>
          <w:sz w:val="28"/>
          <w:szCs w:val="28"/>
          <w:lang w:eastAsia="en-US"/>
        </w:rPr>
        <w:t xml:space="preserve">.. </w:t>
      </w:r>
      <w:proofErr w:type="gramEnd"/>
    </w:p>
    <w:sectPr w:rsidR="008E0862" w:rsidRPr="00ED1458" w:rsidSect="007B0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E0862"/>
    <w:rsid w:val="001F667C"/>
    <w:rsid w:val="00644186"/>
    <w:rsid w:val="007B048B"/>
    <w:rsid w:val="008E0862"/>
    <w:rsid w:val="00ED1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048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8E0862"/>
    <w:pPr>
      <w:keepNext/>
      <w:autoSpaceDE w:val="0"/>
      <w:autoSpaceDN w:val="0"/>
      <w:adjustRightInd w:val="0"/>
      <w:spacing w:after="120" w:line="240" w:lineRule="auto"/>
      <w:jc w:val="both"/>
    </w:pPr>
    <w:rPr>
      <w:rFonts w:ascii="Arial" w:eastAsia="Times New Roman" w:hAnsi="Arial" w:cs="Arial"/>
      <w:b/>
      <w:color w:val="4F6228" w:themeColor="accent3" w:themeShade="80"/>
      <w:szCs w:val="24"/>
    </w:rPr>
  </w:style>
  <w:style w:type="paragraph" w:styleId="a5">
    <w:name w:val="Balloon Text"/>
    <w:basedOn w:val="a0"/>
    <w:link w:val="a6"/>
    <w:uiPriority w:val="99"/>
    <w:semiHidden/>
    <w:unhideWhenUsed/>
    <w:rsid w:val="008E086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E0862"/>
    <w:rPr>
      <w:rFonts w:ascii="Tahoma" w:hAnsi="Tahoma" w:cs="Tahoma"/>
      <w:sz w:val="16"/>
      <w:szCs w:val="16"/>
    </w:rPr>
  </w:style>
  <w:style w:type="paragraph" w:styleId="a">
    <w:name w:val="List Paragraph"/>
    <w:basedOn w:val="a0"/>
    <w:link w:val="a7"/>
    <w:uiPriority w:val="34"/>
    <w:qFormat/>
    <w:rsid w:val="008E0862"/>
    <w:pPr>
      <w:numPr>
        <w:numId w:val="1"/>
      </w:numPr>
      <w:autoSpaceDE w:val="0"/>
      <w:autoSpaceDN w:val="0"/>
      <w:adjustRightInd w:val="0"/>
      <w:spacing w:after="0" w:line="240" w:lineRule="auto"/>
      <w:contextualSpacing/>
      <w:jc w:val="both"/>
    </w:pPr>
    <w:rPr>
      <w:rFonts w:ascii="Times New Roman" w:eastAsia="Times New Roman" w:hAnsi="Times New Roman" w:cs="Times New Roman"/>
      <w:bCs/>
      <w:sz w:val="28"/>
      <w:szCs w:val="28"/>
    </w:rPr>
  </w:style>
  <w:style w:type="character" w:styleId="a8">
    <w:name w:val="Hyperlink"/>
    <w:basedOn w:val="a1"/>
    <w:uiPriority w:val="99"/>
    <w:unhideWhenUsed/>
    <w:rsid w:val="008E0862"/>
    <w:rPr>
      <w:color w:val="0000FF" w:themeColor="hyperlink"/>
      <w:u w:val="single"/>
    </w:rPr>
  </w:style>
  <w:style w:type="paragraph" w:customStyle="1" w:styleId="ConsPlusNormal">
    <w:name w:val="ConsPlusNormal"/>
    <w:link w:val="ConsPlusNormal0"/>
    <w:qFormat/>
    <w:rsid w:val="008E0862"/>
    <w:pPr>
      <w:autoSpaceDE w:val="0"/>
      <w:autoSpaceDN w:val="0"/>
      <w:adjustRightInd w:val="0"/>
      <w:spacing w:after="0" w:line="240" w:lineRule="auto"/>
    </w:pPr>
    <w:rPr>
      <w:rFonts w:ascii="Arial" w:eastAsia="Times New Roman" w:hAnsi="Arial" w:cs="Arial"/>
      <w:sz w:val="20"/>
      <w:szCs w:val="20"/>
    </w:rPr>
  </w:style>
  <w:style w:type="character" w:customStyle="1" w:styleId="a7">
    <w:name w:val="Абзац списка Знак"/>
    <w:link w:val="a"/>
    <w:uiPriority w:val="34"/>
    <w:locked/>
    <w:rsid w:val="008E0862"/>
    <w:rPr>
      <w:rFonts w:ascii="Times New Roman" w:eastAsia="Times New Roman" w:hAnsi="Times New Roman" w:cs="Times New Roman"/>
      <w:bCs/>
      <w:sz w:val="28"/>
      <w:szCs w:val="28"/>
    </w:rPr>
  </w:style>
  <w:style w:type="character" w:customStyle="1" w:styleId="ConsPlusNormal0">
    <w:name w:val="ConsPlusNormal Знак"/>
    <w:link w:val="ConsPlusNormal"/>
    <w:rsid w:val="008E086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"Лицей № 17" (Северодвинск)</a:t>
            </a:r>
          </a:p>
        </c:rich>
      </c:tx>
      <c:layout>
        <c:manualLayout>
          <c:xMode val="edge"/>
          <c:yMode val="edge"/>
          <c:x val="0.18347805482648044"/>
          <c:y val="0"/>
        </c:manualLayout>
      </c:layout>
    </c:title>
    <c:plotArea>
      <c:layout>
        <c:manualLayout>
          <c:layoutTarget val="inner"/>
          <c:xMode val="edge"/>
          <c:yMode val="edge"/>
          <c:x val="0.21055070100169576"/>
          <c:y val="0.21263225430154564"/>
          <c:w val="0.7466203703703721"/>
          <c:h val="0.78708739185379606"/>
        </c:manualLayout>
      </c:layout>
      <c:barChart>
        <c:barDir val="bar"/>
        <c:grouping val="clustered"/>
        <c:ser>
          <c:idx val="0"/>
          <c:order val="0"/>
          <c:tx>
            <c:strRef>
              <c:f>Лист1!$B$1</c:f>
              <c:strCache>
                <c:ptCount val="1"/>
                <c:pt idx="0">
                  <c:v>МБОУ "Лицей № 17" (Северодвинск)</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97.6</c:v>
                </c:pt>
                <c:pt idx="1">
                  <c:v>95</c:v>
                </c:pt>
                <c:pt idx="2">
                  <c:v>42.4</c:v>
                </c:pt>
                <c:pt idx="3">
                  <c:v>94</c:v>
                </c:pt>
                <c:pt idx="4">
                  <c:v>94.7</c:v>
                </c:pt>
                <c:pt idx="5">
                  <c:v>84.740000000000023</c:v>
                </c:pt>
              </c:numCache>
            </c:numRef>
          </c:val>
        </c:ser>
        <c:gapWidth val="52"/>
        <c:axId val="103232256"/>
        <c:axId val="103233792"/>
      </c:barChart>
      <c:catAx>
        <c:axId val="103232256"/>
        <c:scaling>
          <c:orientation val="maxMin"/>
        </c:scaling>
        <c:axPos val="l"/>
        <c:majorGridlines/>
        <c:numFmt formatCode="dd/mm/yyyy" sourceLinked="1"/>
        <c:tickLblPos val="nextTo"/>
        <c:txPr>
          <a:bodyPr/>
          <a:lstStyle/>
          <a:p>
            <a:pPr>
              <a:defRPr sz="800" b="0">
                <a:solidFill>
                  <a:schemeClr val="tx1"/>
                </a:solidFill>
              </a:defRPr>
            </a:pPr>
            <a:endParaRPr lang="ru-RU"/>
          </a:p>
        </c:txPr>
        <c:crossAx val="103233792"/>
        <c:crosses val="autoZero"/>
        <c:auto val="1"/>
        <c:lblAlgn val="ctr"/>
        <c:lblOffset val="100"/>
      </c:catAx>
      <c:valAx>
        <c:axId val="10323379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03232256"/>
        <c:crosses val="autoZero"/>
        <c:crossBetween val="between"/>
      </c:valAx>
      <c:spPr>
        <a:noFill/>
        <a:ln>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kuzminayuv</cp:lastModifiedBy>
  <cp:revision>2</cp:revision>
  <dcterms:created xsi:type="dcterms:W3CDTF">2020-02-14T14:09:00Z</dcterms:created>
  <dcterms:modified xsi:type="dcterms:W3CDTF">2020-02-14T14:09:00Z</dcterms:modified>
</cp:coreProperties>
</file>